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38" w:rsidRPr="004A383A" w:rsidRDefault="00C82521" w:rsidP="004A383A">
      <w:pPr>
        <w:shd w:val="clear" w:color="auto" w:fill="FFFFFF"/>
        <w:spacing w:before="100" w:beforeAutospacing="1" w:after="75" w:line="276" w:lineRule="auto"/>
        <w:rPr>
          <w:rFonts w:ascii="Times New Roman" w:hAnsi="Times New Roman"/>
          <w:b/>
          <w:szCs w:val="24"/>
          <w:lang w:val="eu-ES" w:eastAsia="eu-ES"/>
        </w:rPr>
      </w:pPr>
      <w:r w:rsidRPr="004A383A">
        <w:rPr>
          <w:rFonts w:ascii="Times New Roman" w:hAnsi="Times New Roman"/>
          <w:b/>
          <w:szCs w:val="24"/>
          <w:lang w:val="eu-ES" w:eastAsia="eu-ES"/>
        </w:rPr>
        <w:t xml:space="preserve">MEMORIA DE LA DIRECTORA DE INNOVACIÓN EDUCATIVA </w:t>
      </w:r>
      <w:r w:rsidR="00716938" w:rsidRPr="004A383A">
        <w:rPr>
          <w:rFonts w:ascii="Times New Roman" w:hAnsi="Times New Roman"/>
          <w:b/>
          <w:szCs w:val="24"/>
          <w:lang w:val="eu-ES" w:eastAsia="eu-ES"/>
        </w:rPr>
        <w:t>EN RELACIÓN AL DECRETO POR EL QUE SE ESTABLECE EL CURRÍCULO DE EDUCACIÓN BÁSICA PARA LAS PERSONAS ADULTAS Y SE IMPLANTA EN LA COMUNIDAD AUTÓNOMA DEL PAÍS VASCO.</w:t>
      </w:r>
    </w:p>
    <w:p w:rsidR="00716938" w:rsidRPr="00716938" w:rsidRDefault="00716938" w:rsidP="00716938">
      <w:pPr>
        <w:shd w:val="clear" w:color="auto" w:fill="FFFFFF"/>
        <w:spacing w:before="100" w:beforeAutospacing="1" w:after="75"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artículo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16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Estatuto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Autonomía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País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atribuye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competencia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propia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sobre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toda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extensión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niveles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grados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modalidades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especialidades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Comu</w:t>
      </w:r>
      <w:r w:rsidRPr="00716938">
        <w:rPr>
          <w:rFonts w:ascii="Times New Roman" w:hAnsi="Times New Roman"/>
          <w:sz w:val="28"/>
          <w:szCs w:val="28"/>
          <w:lang w:val="eu-ES" w:eastAsia="eu-ES"/>
        </w:rPr>
        <w:softHyphen/>
        <w:t>nidad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Autónoma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País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.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uso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dicha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</w:t>
      </w:r>
      <w:bookmarkStart w:id="0" w:name="_GoBack"/>
      <w:bookmarkEnd w:id="0"/>
      <w:r w:rsidRPr="00716938">
        <w:rPr>
          <w:rFonts w:ascii="Times New Roman" w:hAnsi="Times New Roman"/>
          <w:sz w:val="28"/>
          <w:szCs w:val="28"/>
          <w:lang w:val="eu-ES" w:eastAsia="eu-ES"/>
        </w:rPr>
        <w:t>petencia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Gobierno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propuesta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Departamento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competente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materia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aprobó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currículo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correspondiente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Primaria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Secundaria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Obligatoria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Comunidad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Autónoma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País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implantando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un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marco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pedagógico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propio,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denominado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Heziberri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2020,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combina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líneas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estratégicas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marcadas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ámbito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europeo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respecto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formación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propios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sistema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educativo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a fin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avanzar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hacia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excelencia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mismo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conseguir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una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sociedad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justa,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cohesionada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activa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>.</w:t>
      </w:r>
    </w:p>
    <w:p w:rsidR="00716938" w:rsidRPr="00716938" w:rsidRDefault="00716938" w:rsidP="00716938">
      <w:pPr>
        <w:shd w:val="clear" w:color="auto" w:fill="FFFFFF"/>
        <w:spacing w:before="100" w:beforeAutospacing="1" w:after="75"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Ley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1/1993, de 19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febrero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Escuela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Pública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 plantea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finalidad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principal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garantizar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ejercicio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efectivo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derecho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mediante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acceso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escolarización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culminación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éxito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proceso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educativo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.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Asimismo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regula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correcto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funcionamiento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organización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centros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educatios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no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universitarios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la CAPV.</w:t>
      </w:r>
    </w:p>
    <w:p w:rsidR="00716938" w:rsidRPr="00716938" w:rsidRDefault="00716938" w:rsidP="00716938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Pr="00716938" w:rsidRDefault="00716938" w:rsidP="0071693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Ley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Orgánica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2/2006, de 3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mayo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modificada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Ley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Orgánica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8/2013, de 9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diciembre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establece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artículo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66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tiene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finalidad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ofrecer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todas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mayores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dieciocho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años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posibilidad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adquirir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actualizar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completar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o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ampliar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sus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conocimientos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aptitudes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para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desarrollo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profesional,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entre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sus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objetivos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cuenta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adquirir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una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formación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ampliar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renovar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sus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conocimientos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habilidades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destrezas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modo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permanente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facilitar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acceso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distintas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sistema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educativo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.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relación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formación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artículo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68.1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recoge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</w:p>
    <w:p w:rsidR="00716938" w:rsidRPr="00716938" w:rsidRDefault="00716938" w:rsidP="00716938">
      <w:pPr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lastRenderedPageBreak/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quieran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adquirir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competencias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conocimientos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correspondientes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contarán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una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oferta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adaptada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sus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condiciones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necesidades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>.</w:t>
      </w:r>
    </w:p>
    <w:p w:rsidR="00716938" w:rsidRPr="00716938" w:rsidRDefault="00716938" w:rsidP="00716938">
      <w:pPr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Pr="00716938" w:rsidRDefault="00716938" w:rsidP="0071693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Real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Decreto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562/2017, de 2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junio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regulan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condiciones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para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obtención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títulos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Graduado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Secundaria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Obligatoria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Bachiller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acuerdo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lo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dispuesto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Real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Decreto-ley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5/2016, de 9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diciembre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establece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disposición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adicional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cuarta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quieren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adquirir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competencias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conocimientos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correspondientes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Secundaria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Obligatoria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contarán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una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oferta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adaptada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sus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condiciones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necesidades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regirá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principios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movilidad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transparencia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podrá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desarrollarse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través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presencial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también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mediante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distancia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>.</w:t>
      </w:r>
    </w:p>
    <w:p w:rsidR="00716938" w:rsidRPr="00716938" w:rsidRDefault="00716938" w:rsidP="00716938">
      <w:pPr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Pr="00716938" w:rsidRDefault="00716938" w:rsidP="0071693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Igualmente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objeto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alumnado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adquiera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una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visión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integrada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saber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permita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desarrollar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competencias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aprendizaje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permanente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un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contexto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global, y para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mejorar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capacidad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adaptación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cambios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sociales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económicos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está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sometida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situación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actual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secundaria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para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podrán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integrar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opciones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académicas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aplicadas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podrán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organizar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forma modular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tres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ámbitos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conocimiento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niveles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cada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uno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.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Ámbito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comunicación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Ámbito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social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Ámbito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científico-tecnológico</w:t>
      </w:r>
      <w:proofErr w:type="spellEnd"/>
    </w:p>
    <w:p w:rsidR="00716938" w:rsidRPr="00716938" w:rsidRDefault="00716938" w:rsidP="0071693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Pr="00716938" w:rsidRDefault="00716938" w:rsidP="0071693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Decreto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236/2015, de 22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diciembre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establece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currículo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implanta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Comunidad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Autónoma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País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Vasco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determina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disposición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adicional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cuarta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quieran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adquirir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competencias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conocimientos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correspondientes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contarán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una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oferta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adaptada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sus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condiciones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podrá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desarrollarse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través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presencial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también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mediante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distancia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>.</w:t>
      </w:r>
    </w:p>
    <w:p w:rsidR="00716938" w:rsidRPr="00716938" w:rsidRDefault="00716938" w:rsidP="00716938">
      <w:pPr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Pr="00716938" w:rsidRDefault="00716938" w:rsidP="0071693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mismo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modo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objeto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favorecer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flexibilidad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adquisición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aprendizajes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para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organizarán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forma modular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tres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grados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correspondientes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lastRenderedPageBreak/>
        <w:t>respectivamente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Iniciales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I,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Enseñanzas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Iniciales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II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Secundaria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>.</w:t>
      </w:r>
    </w:p>
    <w:p w:rsidR="00716938" w:rsidRPr="00716938" w:rsidRDefault="00716938" w:rsidP="00716938">
      <w:pPr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Pr="00716938" w:rsidRDefault="00716938" w:rsidP="00716938">
      <w:pPr>
        <w:autoSpaceDE w:val="0"/>
        <w:autoSpaceDN w:val="0"/>
        <w:adjustRightInd w:val="0"/>
        <w:spacing w:line="276" w:lineRule="auto"/>
        <w:ind w:firstLine="708"/>
        <w:rPr>
          <w:rFonts w:eastAsia="Calibri" w:cs="Arial"/>
          <w:szCs w:val="24"/>
          <w:lang w:val="es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citado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Decreto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establece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también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para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desarrollará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base al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currículo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específico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se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elabore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adaptando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currículo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incluido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su anexo II.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Además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dicho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currículo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específico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podrá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incorporar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distintos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ámbitos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aspectos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restantes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materias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.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objeto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final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será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todo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caso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,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consecución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competencias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básicas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incluyendo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los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aprendizajes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favorezcan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continuidad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formación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 xml:space="preserve"> a lo largo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vida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.</w:t>
      </w:r>
    </w:p>
    <w:p w:rsidR="00716938" w:rsidRPr="00716938" w:rsidRDefault="00716938" w:rsidP="00716938">
      <w:pPr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Pr="00716938" w:rsidRDefault="00716938" w:rsidP="004A383A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Departamento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presenta este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decreto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para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garantizar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servicio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público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este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nivel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así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para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posibilitar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actualización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pedagógica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impulso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hacia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nuevas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metas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educativas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. </w:t>
      </w:r>
    </w:p>
    <w:p w:rsidR="00716938" w:rsidRPr="00716938" w:rsidRDefault="00716938" w:rsidP="00716938">
      <w:pPr>
        <w:spacing w:line="276" w:lineRule="auto"/>
        <w:rPr>
          <w:rFonts w:ascii="Times New Roman" w:hAnsi="Times New Roman"/>
          <w:sz w:val="28"/>
          <w:szCs w:val="28"/>
          <w:lang w:val="eu-ES" w:eastAsia="eu-ES"/>
        </w:rPr>
      </w:pPr>
    </w:p>
    <w:p w:rsidR="00716938" w:rsidRDefault="00716938" w:rsidP="00422FC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objeto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este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decreto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establecer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organización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para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,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currículo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específico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y su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evaluación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.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Teniendo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cuenta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Básica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las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personas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adultas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comprende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el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 w:bidi="eu-ES"/>
        </w:rPr>
        <w:t>proceso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formativo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que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abarca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desde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alfabetización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hasta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la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obtención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del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Graduado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Educación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Secundaria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 xml:space="preserve"> </w:t>
      </w:r>
      <w:proofErr w:type="spellStart"/>
      <w:r w:rsidRPr="00716938">
        <w:rPr>
          <w:rFonts w:ascii="Times New Roman" w:hAnsi="Times New Roman"/>
          <w:sz w:val="28"/>
          <w:szCs w:val="28"/>
          <w:lang w:val="eu-ES" w:eastAsia="eu-ES"/>
        </w:rPr>
        <w:t>Obligatoria</w:t>
      </w:r>
      <w:proofErr w:type="spellEnd"/>
      <w:r w:rsidRPr="00716938">
        <w:rPr>
          <w:rFonts w:ascii="Times New Roman" w:hAnsi="Times New Roman"/>
          <w:sz w:val="28"/>
          <w:szCs w:val="28"/>
          <w:lang w:val="eu-ES" w:eastAsia="eu-ES"/>
        </w:rPr>
        <w:t>.</w:t>
      </w:r>
    </w:p>
    <w:p w:rsidR="00716938" w:rsidRPr="00422FCC" w:rsidRDefault="00716938" w:rsidP="00716938">
      <w:pPr>
        <w:spacing w:line="276" w:lineRule="auto"/>
        <w:ind w:firstLine="708"/>
        <w:rPr>
          <w:rFonts w:ascii="Times New Roman" w:hAnsi="Times New Roman"/>
          <w:sz w:val="28"/>
          <w:szCs w:val="28"/>
          <w:lang w:val="eu-ES" w:eastAsia="eu-ES"/>
        </w:rPr>
      </w:pPr>
    </w:p>
    <w:p w:rsidR="00C82521" w:rsidRPr="00422FCC" w:rsidRDefault="00C82521" w:rsidP="00C8252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es-ES" w:eastAsia="en-US"/>
        </w:rPr>
      </w:pPr>
      <w:r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>Vitoria-Gasteiz, 201</w:t>
      </w:r>
      <w:r w:rsidR="004A383A"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>9</w:t>
      </w:r>
      <w:r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 xml:space="preserve">ko </w:t>
      </w:r>
      <w:r w:rsidR="004A383A"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 xml:space="preserve">apirilaren </w:t>
      </w:r>
      <w:r w:rsidR="00777313"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>4</w:t>
      </w:r>
      <w:r w:rsidR="00EC3F35"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>a</w:t>
      </w:r>
    </w:p>
    <w:p w:rsidR="00C82521" w:rsidRPr="00422FCC" w:rsidRDefault="00C82521" w:rsidP="00777313">
      <w:pPr>
        <w:spacing w:after="200" w:line="276" w:lineRule="auto"/>
        <w:rPr>
          <w:rFonts w:ascii="Times New Roman" w:eastAsia="Calibri" w:hAnsi="Times New Roman"/>
          <w:sz w:val="28"/>
          <w:szCs w:val="28"/>
          <w:lang w:val="es-ES" w:eastAsia="en-US"/>
        </w:rPr>
      </w:pPr>
    </w:p>
    <w:p w:rsidR="00C82521" w:rsidRPr="00422FCC" w:rsidRDefault="00C82521" w:rsidP="00C8252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es-ES" w:eastAsia="en-US"/>
        </w:rPr>
      </w:pPr>
      <w:r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>Lucía Torrealday Berrueco</w:t>
      </w:r>
    </w:p>
    <w:p w:rsidR="00C82521" w:rsidRPr="00422FCC" w:rsidRDefault="00C82521" w:rsidP="00C82521">
      <w:pPr>
        <w:spacing w:after="200" w:line="276" w:lineRule="auto"/>
        <w:jc w:val="center"/>
        <w:rPr>
          <w:rFonts w:ascii="Times New Roman" w:eastAsia="Calibri" w:hAnsi="Times New Roman"/>
          <w:noProof/>
          <w:sz w:val="28"/>
          <w:szCs w:val="28"/>
          <w:lang w:val="es-ES" w:eastAsia="en-US"/>
        </w:rPr>
      </w:pPr>
      <w:r w:rsidRPr="00422FCC">
        <w:rPr>
          <w:rFonts w:ascii="Times New Roman" w:eastAsia="Calibri" w:hAnsi="Times New Roman"/>
          <w:noProof/>
          <w:sz w:val="28"/>
          <w:szCs w:val="28"/>
          <w:lang w:val="es-ES" w:eastAsia="en-US"/>
        </w:rPr>
        <w:t>Hezkuntza Berriztatzeko zuzendaria / Directora de Innovación Educativa</w:t>
      </w:r>
    </w:p>
    <w:p w:rsidR="000E6569" w:rsidRPr="00C82521" w:rsidRDefault="000E6569" w:rsidP="00AE6C7D">
      <w:pPr>
        <w:rPr>
          <w:lang w:val="es-ES"/>
        </w:rPr>
      </w:pPr>
    </w:p>
    <w:sectPr w:rsidR="000E6569" w:rsidRPr="00C82521">
      <w:headerReference w:type="default" r:id="rId8"/>
      <w:headerReference w:type="first" r:id="rId9"/>
      <w:pgSz w:w="11907" w:h="16840"/>
      <w:pgMar w:top="1701" w:right="1701" w:bottom="1418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07" w:rsidRDefault="000F7D07">
      <w:r>
        <w:separator/>
      </w:r>
    </w:p>
  </w:endnote>
  <w:endnote w:type="continuationSeparator" w:id="0">
    <w:p w:rsidR="000F7D07" w:rsidRDefault="000F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07" w:rsidRDefault="000F7D07">
      <w:r>
        <w:separator/>
      </w:r>
    </w:p>
  </w:footnote>
  <w:footnote w:type="continuationSeparator" w:id="0">
    <w:p w:rsidR="000F7D07" w:rsidRDefault="000F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4" w:rsidRDefault="003A188F">
    <w:pPr>
      <w:pStyle w:val="Encabezado"/>
      <w:tabs>
        <w:tab w:val="clear" w:pos="4819"/>
        <w:tab w:val="clear" w:pos="9071"/>
      </w:tabs>
      <w:jc w:val="center"/>
    </w:pPr>
    <w:r>
      <w:rPr>
        <w:noProof/>
        <w:lang w:val="es-ES" w:eastAsia="es-ES"/>
      </w:rPr>
      <w:drawing>
        <wp:inline distT="0" distB="0" distL="0" distR="0" wp14:anchorId="5B2B4000" wp14:editId="25431FAF">
          <wp:extent cx="2571750" cy="311150"/>
          <wp:effectExtent l="0" t="0" r="0" b="0"/>
          <wp:docPr id="2" name="Imagen 2" descr="horizontal_papeleria_2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_papeleria_2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9A4" w:rsidRDefault="009369A4">
    <w:pPr>
      <w:pStyle w:val="Encabezado"/>
      <w:tabs>
        <w:tab w:val="clear" w:pos="4819"/>
        <w:tab w:val="clear" w:pos="9071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4" w:rsidRDefault="003A188F">
    <w:pPr>
      <w:pStyle w:val="Encabezado"/>
      <w:tabs>
        <w:tab w:val="clear" w:pos="4819"/>
        <w:tab w:val="clear" w:pos="9071"/>
      </w:tabs>
      <w:jc w:val="center"/>
      <w:rPr>
        <w:sz w:val="20"/>
      </w:rPr>
    </w:pPr>
    <w:r>
      <w:rPr>
        <w:noProof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B2354B1" wp14:editId="3574D528">
              <wp:simplePos x="0" y="0"/>
              <wp:positionH relativeFrom="column">
                <wp:posOffset>853440</wp:posOffset>
              </wp:positionH>
              <wp:positionV relativeFrom="paragraph">
                <wp:posOffset>407035</wp:posOffset>
              </wp:positionV>
              <wp:extent cx="3819525" cy="883920"/>
              <wp:effectExtent l="0" t="0" r="0" b="0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9525" cy="883920"/>
                        <a:chOff x="3045" y="1208"/>
                        <a:chExt cx="6015" cy="1392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45" y="1208"/>
                          <a:ext cx="2665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9A4" w:rsidRDefault="00382BE2" w:rsidP="00F26150">
                            <w:pPr>
                              <w:pStyle w:val="Ttulo2"/>
                              <w:spacing w:after="25"/>
                              <w:ind w:right="2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HEZKUNTZA </w:t>
                            </w:r>
                            <w:r w:rsidR="009369A4">
                              <w:rPr>
                                <w:sz w:val="12"/>
                              </w:rPr>
                              <w:t>SAILA</w:t>
                            </w:r>
                          </w:p>
                          <w:p w:rsidR="009369A4" w:rsidRPr="009369A4" w:rsidRDefault="009369A4">
                            <w:pPr>
                              <w:spacing w:after="25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9A4" w:rsidRDefault="009369A4">
                            <w:pPr>
                              <w:pStyle w:val="Ttulo2"/>
                              <w:spacing w:after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EDUCACIÓN</w:t>
                            </w:r>
                          </w:p>
                          <w:p w:rsidR="009369A4" w:rsidRPr="009369A4" w:rsidRDefault="009369A4">
                            <w:pPr>
                              <w:spacing w:after="25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67.2pt;margin-top:32.05pt;width:300.75pt;height:69.6pt;z-index:251657728" coordorigin="3045,1208" coordsize="601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45;top:1208;width:266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369A4" w:rsidRDefault="00382BE2" w:rsidP="00F26150">
                      <w:pPr>
                        <w:pStyle w:val="Ttulo2"/>
                        <w:spacing w:after="25"/>
                        <w:ind w:right="25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HEZKUNTZA </w:t>
                      </w:r>
                      <w:r w:rsidR="009369A4">
                        <w:rPr>
                          <w:sz w:val="12"/>
                        </w:rPr>
                        <w:t>SAILA</w:t>
                      </w:r>
                    </w:p>
                    <w:p w:rsidR="009369A4" w:rsidRPr="009369A4" w:rsidRDefault="009369A4">
                      <w:pPr>
                        <w:spacing w:after="25"/>
                        <w:rPr>
                          <w:i/>
                          <w:sz w:val="12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6367;top:1208;width:2693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369A4" w:rsidRDefault="009369A4">
                      <w:pPr>
                        <w:pStyle w:val="Ttulo2"/>
                        <w:spacing w:after="2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DEPARTAMENTO DE EDUCACIÓN</w:t>
                      </w:r>
                    </w:p>
                    <w:p w:rsidR="009369A4" w:rsidRPr="009369A4" w:rsidRDefault="009369A4">
                      <w:pPr>
                        <w:spacing w:after="25"/>
                        <w:rPr>
                          <w:i/>
                          <w:sz w:val="12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  <w:sz w:val="20"/>
        <w:lang w:val="es-ES" w:eastAsia="es-ES"/>
      </w:rPr>
      <w:drawing>
        <wp:inline distT="0" distB="0" distL="0" distR="0" wp14:anchorId="5E22249D" wp14:editId="5EE38701">
          <wp:extent cx="3835400" cy="463550"/>
          <wp:effectExtent l="0" t="0" r="0" b="0"/>
          <wp:docPr id="1" name="Imagen 1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9A4" w:rsidRDefault="009369A4">
    <w:pPr>
      <w:pStyle w:val="Encabezado"/>
      <w:tabs>
        <w:tab w:val="clear" w:pos="4819"/>
        <w:tab w:val="clear" w:pos="9071"/>
      </w:tabs>
      <w:jc w:val="center"/>
      <w:rPr>
        <w:sz w:val="20"/>
      </w:rPr>
    </w:pPr>
  </w:p>
  <w:p w:rsidR="009369A4" w:rsidRDefault="009369A4">
    <w:pPr>
      <w:pStyle w:val="Encabezado"/>
      <w:tabs>
        <w:tab w:val="clear" w:pos="4819"/>
        <w:tab w:val="clear" w:pos="9071"/>
      </w:tabs>
      <w:jc w:val="center"/>
      <w:rPr>
        <w:sz w:val="20"/>
      </w:rPr>
    </w:pPr>
  </w:p>
  <w:p w:rsidR="009369A4" w:rsidRDefault="009369A4">
    <w:pPr>
      <w:pStyle w:val="Encabezado"/>
      <w:tabs>
        <w:tab w:val="clear" w:pos="4819"/>
        <w:tab w:val="clear" w:pos="9071"/>
      </w:tabs>
      <w:jc w:val="center"/>
      <w:rPr>
        <w:sz w:val="20"/>
      </w:rPr>
    </w:pPr>
  </w:p>
  <w:p w:rsidR="009369A4" w:rsidRDefault="009369A4">
    <w:pPr>
      <w:pStyle w:val="Encabezado"/>
      <w:tabs>
        <w:tab w:val="clear" w:pos="4819"/>
        <w:tab w:val="clear" w:pos="9071"/>
      </w:tabs>
      <w:jc w:val="center"/>
      <w:rPr>
        <w:sz w:val="20"/>
      </w:rPr>
    </w:pPr>
  </w:p>
  <w:p w:rsidR="009369A4" w:rsidRDefault="009369A4">
    <w:pPr>
      <w:pStyle w:val="Encabezado"/>
      <w:tabs>
        <w:tab w:val="clear" w:pos="4819"/>
        <w:tab w:val="clear" w:pos="9071"/>
      </w:tabs>
      <w:jc w:val="center"/>
      <w:rPr>
        <w:sz w:val="20"/>
      </w:rPr>
    </w:pPr>
  </w:p>
  <w:p w:rsidR="009369A4" w:rsidRDefault="009369A4">
    <w:pPr>
      <w:pStyle w:val="Encabezado"/>
      <w:tabs>
        <w:tab w:val="clear" w:pos="4819"/>
        <w:tab w:val="clear" w:pos="9071"/>
      </w:tabs>
      <w:jc w:val="center"/>
      <w:rPr>
        <w:sz w:val="20"/>
      </w:rPr>
    </w:pPr>
  </w:p>
  <w:p w:rsidR="009369A4" w:rsidRDefault="009369A4">
    <w:pPr>
      <w:pStyle w:val="Encabezado"/>
      <w:tabs>
        <w:tab w:val="clear" w:pos="4819"/>
        <w:tab w:val="clear" w:pos="9071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D19"/>
    <w:multiLevelType w:val="hybridMultilevel"/>
    <w:tmpl w:val="68B2F9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C6980"/>
    <w:multiLevelType w:val="hybridMultilevel"/>
    <w:tmpl w:val="75D6F5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70"/>
    <w:rsid w:val="000E6569"/>
    <w:rsid w:val="000F5597"/>
    <w:rsid w:val="000F7D07"/>
    <w:rsid w:val="00113CAD"/>
    <w:rsid w:val="00125F84"/>
    <w:rsid w:val="001510FD"/>
    <w:rsid w:val="001E3F99"/>
    <w:rsid w:val="0020267B"/>
    <w:rsid w:val="00382BE2"/>
    <w:rsid w:val="003A188F"/>
    <w:rsid w:val="00400CA1"/>
    <w:rsid w:val="00422FCC"/>
    <w:rsid w:val="00454629"/>
    <w:rsid w:val="00454856"/>
    <w:rsid w:val="004560DD"/>
    <w:rsid w:val="004A383A"/>
    <w:rsid w:val="004C5C06"/>
    <w:rsid w:val="00574DFF"/>
    <w:rsid w:val="006B4DD0"/>
    <w:rsid w:val="00716938"/>
    <w:rsid w:val="0076420A"/>
    <w:rsid w:val="00777313"/>
    <w:rsid w:val="00910455"/>
    <w:rsid w:val="009369A4"/>
    <w:rsid w:val="0096608D"/>
    <w:rsid w:val="009B7C70"/>
    <w:rsid w:val="00AE6C7D"/>
    <w:rsid w:val="00B17491"/>
    <w:rsid w:val="00BD063E"/>
    <w:rsid w:val="00BE1564"/>
    <w:rsid w:val="00C761C1"/>
    <w:rsid w:val="00C82521"/>
    <w:rsid w:val="00DA33FD"/>
    <w:rsid w:val="00EC3F35"/>
    <w:rsid w:val="00EE4FFB"/>
    <w:rsid w:val="00F26150"/>
    <w:rsid w:val="00F92ED4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CAD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spacing w:before="240" w:line="240" w:lineRule="auto"/>
      <w:jc w:val="left"/>
      <w:outlineLvl w:val="0"/>
    </w:pPr>
    <w:rPr>
      <w:b/>
      <w:u w:val="single"/>
      <w:lang w:eastAsia="es-ES_tradnl"/>
    </w:rPr>
  </w:style>
  <w:style w:type="paragraph" w:styleId="Ttulo2">
    <w:name w:val="heading 2"/>
    <w:basedOn w:val="Normal"/>
    <w:next w:val="Normal"/>
    <w:qFormat/>
    <w:pPr>
      <w:keepNext/>
      <w:spacing w:line="240" w:lineRule="auto"/>
      <w:jc w:val="left"/>
      <w:outlineLvl w:val="1"/>
    </w:pPr>
    <w:rPr>
      <w:b/>
      <w:sz w:val="14"/>
      <w:lang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line="240" w:lineRule="auto"/>
      <w:jc w:val="left"/>
      <w:outlineLvl w:val="2"/>
    </w:pPr>
    <w:rPr>
      <w:i/>
      <w:sz w:val="13"/>
      <w:lang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line="240" w:lineRule="auto"/>
      <w:jc w:val="left"/>
      <w:outlineLvl w:val="3"/>
    </w:pPr>
    <w:rPr>
      <w:i/>
      <w:sz w:val="14"/>
      <w:lang w:eastAsia="es-ES_tradnl"/>
    </w:rPr>
  </w:style>
  <w:style w:type="paragraph" w:styleId="Ttulo5">
    <w:name w:val="heading 5"/>
    <w:basedOn w:val="Normal"/>
    <w:next w:val="Normal"/>
    <w:link w:val="Ttulo5Car"/>
    <w:qFormat/>
    <w:rsid w:val="00113CAD"/>
    <w:pPr>
      <w:keepNext/>
      <w:spacing w:line="240" w:lineRule="auto"/>
      <w:jc w:val="center"/>
      <w:outlineLvl w:val="4"/>
    </w:pPr>
    <w:rPr>
      <w:rFonts w:ascii="Times New Roman" w:hAnsi="Times New Roman"/>
      <w:b/>
    </w:rPr>
  </w:style>
  <w:style w:type="paragraph" w:styleId="Ttulo6">
    <w:name w:val="heading 6"/>
    <w:basedOn w:val="Normal"/>
    <w:next w:val="Normal"/>
    <w:link w:val="Ttulo6Car"/>
    <w:qFormat/>
    <w:rsid w:val="00113CAD"/>
    <w:pPr>
      <w:keepNext/>
      <w:spacing w:line="240" w:lineRule="auto"/>
      <w:jc w:val="center"/>
      <w:outlineLvl w:val="5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spacing w:line="240" w:lineRule="auto"/>
      <w:jc w:val="left"/>
    </w:pPr>
    <w:rPr>
      <w:rFonts w:ascii="Times New Roman" w:hAnsi="Times New Roman"/>
      <w:sz w:val="20"/>
      <w:lang w:eastAsia="es-ES_tradnl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  <w:spacing w:line="240" w:lineRule="auto"/>
      <w:jc w:val="left"/>
    </w:pPr>
    <w:rPr>
      <w:rFonts w:ascii="Times New Roman" w:hAnsi="Times New Roman"/>
      <w:lang w:eastAsia="es-ES_tradnl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  <w:spacing w:line="240" w:lineRule="auto"/>
      <w:jc w:val="left"/>
    </w:pPr>
    <w:rPr>
      <w:rFonts w:ascii="Times New Roman" w:hAnsi="Times New Roman"/>
      <w:lang w:eastAsia="es-ES_tradnl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pPr>
      <w:spacing w:before="35" w:line="240" w:lineRule="auto"/>
      <w:jc w:val="left"/>
    </w:pPr>
    <w:rPr>
      <w:sz w:val="14"/>
      <w:lang w:eastAsia="es-ES_tradnl"/>
    </w:rPr>
  </w:style>
  <w:style w:type="paragraph" w:styleId="Textoindependiente2">
    <w:name w:val="Body Text 2"/>
    <w:basedOn w:val="Normal"/>
    <w:pPr>
      <w:spacing w:before="35" w:line="240" w:lineRule="auto"/>
      <w:ind w:right="1222"/>
      <w:jc w:val="left"/>
    </w:pPr>
    <w:rPr>
      <w:sz w:val="14"/>
      <w:lang w:eastAsia="es-ES_tradnl"/>
    </w:rPr>
  </w:style>
  <w:style w:type="paragraph" w:styleId="Textodeglobo">
    <w:name w:val="Balloon Text"/>
    <w:basedOn w:val="Normal"/>
    <w:link w:val="TextodegloboCar"/>
    <w:rsid w:val="0076420A"/>
    <w:pPr>
      <w:spacing w:line="240" w:lineRule="auto"/>
      <w:jc w:val="left"/>
    </w:pPr>
    <w:rPr>
      <w:rFonts w:ascii="Tahoma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76420A"/>
    <w:rPr>
      <w:rFonts w:ascii="Tahoma" w:hAnsi="Tahoma" w:cs="Tahoma"/>
      <w:sz w:val="16"/>
      <w:szCs w:val="16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0E6569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E6569"/>
    <w:rPr>
      <w:sz w:val="16"/>
      <w:szCs w:val="1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113CAD"/>
    <w:rPr>
      <w:b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13CAD"/>
    <w:rPr>
      <w:b/>
      <w:sz w:val="22"/>
      <w:lang w:val="es-ES_tradnl"/>
    </w:rPr>
  </w:style>
  <w:style w:type="paragraph" w:styleId="NormalWeb">
    <w:name w:val="Normal (Web)"/>
    <w:basedOn w:val="Normal"/>
    <w:rsid w:val="0071693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66330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CAD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spacing w:before="240" w:line="240" w:lineRule="auto"/>
      <w:jc w:val="left"/>
      <w:outlineLvl w:val="0"/>
    </w:pPr>
    <w:rPr>
      <w:b/>
      <w:u w:val="single"/>
      <w:lang w:eastAsia="es-ES_tradnl"/>
    </w:rPr>
  </w:style>
  <w:style w:type="paragraph" w:styleId="Ttulo2">
    <w:name w:val="heading 2"/>
    <w:basedOn w:val="Normal"/>
    <w:next w:val="Normal"/>
    <w:qFormat/>
    <w:pPr>
      <w:keepNext/>
      <w:spacing w:line="240" w:lineRule="auto"/>
      <w:jc w:val="left"/>
      <w:outlineLvl w:val="1"/>
    </w:pPr>
    <w:rPr>
      <w:b/>
      <w:sz w:val="14"/>
      <w:lang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line="240" w:lineRule="auto"/>
      <w:jc w:val="left"/>
      <w:outlineLvl w:val="2"/>
    </w:pPr>
    <w:rPr>
      <w:i/>
      <w:sz w:val="13"/>
      <w:lang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line="240" w:lineRule="auto"/>
      <w:jc w:val="left"/>
      <w:outlineLvl w:val="3"/>
    </w:pPr>
    <w:rPr>
      <w:i/>
      <w:sz w:val="14"/>
      <w:lang w:eastAsia="es-ES_tradnl"/>
    </w:rPr>
  </w:style>
  <w:style w:type="paragraph" w:styleId="Ttulo5">
    <w:name w:val="heading 5"/>
    <w:basedOn w:val="Normal"/>
    <w:next w:val="Normal"/>
    <w:link w:val="Ttulo5Car"/>
    <w:qFormat/>
    <w:rsid w:val="00113CAD"/>
    <w:pPr>
      <w:keepNext/>
      <w:spacing w:line="240" w:lineRule="auto"/>
      <w:jc w:val="center"/>
      <w:outlineLvl w:val="4"/>
    </w:pPr>
    <w:rPr>
      <w:rFonts w:ascii="Times New Roman" w:hAnsi="Times New Roman"/>
      <w:b/>
    </w:rPr>
  </w:style>
  <w:style w:type="paragraph" w:styleId="Ttulo6">
    <w:name w:val="heading 6"/>
    <w:basedOn w:val="Normal"/>
    <w:next w:val="Normal"/>
    <w:link w:val="Ttulo6Car"/>
    <w:qFormat/>
    <w:rsid w:val="00113CAD"/>
    <w:pPr>
      <w:keepNext/>
      <w:spacing w:line="240" w:lineRule="auto"/>
      <w:jc w:val="center"/>
      <w:outlineLvl w:val="5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spacing w:line="240" w:lineRule="auto"/>
      <w:jc w:val="left"/>
    </w:pPr>
    <w:rPr>
      <w:rFonts w:ascii="Times New Roman" w:hAnsi="Times New Roman"/>
      <w:sz w:val="20"/>
      <w:lang w:eastAsia="es-ES_tradnl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  <w:spacing w:line="240" w:lineRule="auto"/>
      <w:jc w:val="left"/>
    </w:pPr>
    <w:rPr>
      <w:rFonts w:ascii="Times New Roman" w:hAnsi="Times New Roman"/>
      <w:lang w:eastAsia="es-ES_tradnl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  <w:spacing w:line="240" w:lineRule="auto"/>
      <w:jc w:val="left"/>
    </w:pPr>
    <w:rPr>
      <w:rFonts w:ascii="Times New Roman" w:hAnsi="Times New Roman"/>
      <w:lang w:eastAsia="es-ES_tradnl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pPr>
      <w:spacing w:before="35" w:line="240" w:lineRule="auto"/>
      <w:jc w:val="left"/>
    </w:pPr>
    <w:rPr>
      <w:sz w:val="14"/>
      <w:lang w:eastAsia="es-ES_tradnl"/>
    </w:rPr>
  </w:style>
  <w:style w:type="paragraph" w:styleId="Textoindependiente2">
    <w:name w:val="Body Text 2"/>
    <w:basedOn w:val="Normal"/>
    <w:pPr>
      <w:spacing w:before="35" w:line="240" w:lineRule="auto"/>
      <w:ind w:right="1222"/>
      <w:jc w:val="left"/>
    </w:pPr>
    <w:rPr>
      <w:sz w:val="14"/>
      <w:lang w:eastAsia="es-ES_tradnl"/>
    </w:rPr>
  </w:style>
  <w:style w:type="paragraph" w:styleId="Textodeglobo">
    <w:name w:val="Balloon Text"/>
    <w:basedOn w:val="Normal"/>
    <w:link w:val="TextodegloboCar"/>
    <w:rsid w:val="0076420A"/>
    <w:pPr>
      <w:spacing w:line="240" w:lineRule="auto"/>
      <w:jc w:val="left"/>
    </w:pPr>
    <w:rPr>
      <w:rFonts w:ascii="Tahoma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76420A"/>
    <w:rPr>
      <w:rFonts w:ascii="Tahoma" w:hAnsi="Tahoma" w:cs="Tahoma"/>
      <w:sz w:val="16"/>
      <w:szCs w:val="16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0E6569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E6569"/>
    <w:rPr>
      <w:sz w:val="16"/>
      <w:szCs w:val="1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113CAD"/>
    <w:rPr>
      <w:b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13CAD"/>
    <w:rPr>
      <w:b/>
      <w:sz w:val="22"/>
      <w:lang w:val="es-ES_tradnl"/>
    </w:rPr>
  </w:style>
  <w:style w:type="paragraph" w:styleId="NormalWeb">
    <w:name w:val="Normal (Web)"/>
    <w:basedOn w:val="Normal"/>
    <w:rsid w:val="0071693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66330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ERRAMIE\ORGANIZACION\PLANTILLAS%20HEZKUNTZA\MEMBRETES\Hezkuntza%20Sailburuordetza\Direc.%20Innovacion%20Educativa\Ordenaci&#243;n%20Acad&#233;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Ordenación Académica.dotx</Template>
  <TotalTime>2</TotalTime>
  <Pages>3</Pages>
  <Words>838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Najera Irazu, M Soledad</dc:creator>
  <cp:lastModifiedBy>Agirregomezkorta Leanizbarrutia, Leire</cp:lastModifiedBy>
  <cp:revision>3</cp:revision>
  <cp:lastPrinted>2003-04-25T12:37:00Z</cp:lastPrinted>
  <dcterms:created xsi:type="dcterms:W3CDTF">2019-04-04T14:31:00Z</dcterms:created>
  <dcterms:modified xsi:type="dcterms:W3CDTF">2019-04-08T10:09:00Z</dcterms:modified>
</cp:coreProperties>
</file>